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2EFF" w14:textId="1F03EA69" w:rsidR="00FB4DAF" w:rsidRDefault="00FB4DAF" w:rsidP="00FB4DAF">
      <w:pPr>
        <w:spacing w:line="281" w:lineRule="auto"/>
        <w:ind w:left="-567"/>
        <w:rPr>
          <w:rFonts w:cstheme="minorHAnsi"/>
          <w:i/>
          <w:iCs/>
        </w:rPr>
      </w:pPr>
      <w:r>
        <w:rPr>
          <w:rFonts w:cstheme="minorHAnsi"/>
          <w:b/>
          <w:bCs/>
          <w:u w:val="single"/>
        </w:rPr>
        <w:t>Samenvatting bij preek over HC Zondag 41 (</w:t>
      </w:r>
      <w:r>
        <w:rPr>
          <w:rFonts w:cstheme="minorHAnsi"/>
          <w:b/>
          <w:bCs/>
          <w:u w:val="single"/>
        </w:rPr>
        <w:t>2</w:t>
      </w:r>
      <w:r w:rsidRPr="00F66845">
        <w:rPr>
          <w:rFonts w:cstheme="minorHAnsi"/>
          <w:b/>
          <w:bCs/>
          <w:u w:val="single"/>
          <w:vertAlign w:val="superscript"/>
        </w:rPr>
        <w:t>e</w:t>
      </w:r>
      <w:r>
        <w:rPr>
          <w:rFonts w:cstheme="minorHAnsi"/>
          <w:b/>
          <w:bCs/>
          <w:u w:val="single"/>
        </w:rPr>
        <w:t xml:space="preserve"> preek)</w:t>
      </w:r>
      <w:r>
        <w:rPr>
          <w:rFonts w:cstheme="minorHAnsi"/>
          <w:b/>
          <w:bCs/>
          <w:u w:val="single"/>
        </w:rPr>
        <w:br/>
      </w:r>
      <w:r>
        <w:rPr>
          <w:rFonts w:cstheme="minorHAnsi"/>
          <w:i/>
          <w:iCs/>
        </w:rPr>
        <w:t xml:space="preserve">Schriftlezingen: </w:t>
      </w:r>
      <w:r>
        <w:rPr>
          <w:i/>
          <w:iCs/>
          <w:sz w:val="20"/>
          <w:szCs w:val="20"/>
        </w:rPr>
        <w:t>Matth. 19,1-2</w:t>
      </w:r>
      <w:r w:rsidRPr="00F66845">
        <w:rPr>
          <w:i/>
          <w:iCs/>
          <w:sz w:val="20"/>
          <w:szCs w:val="20"/>
        </w:rPr>
        <w:t xml:space="preserve"> en </w:t>
      </w:r>
      <w:r>
        <w:rPr>
          <w:i/>
          <w:iCs/>
          <w:sz w:val="20"/>
          <w:szCs w:val="20"/>
        </w:rPr>
        <w:t>1 Kor. 6,1-10</w:t>
      </w:r>
    </w:p>
    <w:p w14:paraId="65C8AD73" w14:textId="448E8D1B" w:rsidR="00FB4DAF" w:rsidRPr="00C45A23" w:rsidRDefault="00FB4DAF" w:rsidP="00FB4DAF">
      <w:pPr>
        <w:spacing w:line="281" w:lineRule="auto"/>
        <w:ind w:left="-567"/>
        <w:rPr>
          <w:rFonts w:cstheme="minorHAnsi"/>
          <w:i/>
          <w:iCs/>
        </w:rPr>
      </w:pPr>
      <w:r>
        <w:rPr>
          <w:rFonts w:cstheme="minorHAnsi"/>
          <w:i/>
          <w:iCs/>
          <w:u w:val="single"/>
        </w:rPr>
        <w:t xml:space="preserve">Thema: </w:t>
      </w:r>
      <w:r>
        <w:rPr>
          <w:i/>
          <w:iCs/>
          <w:u w:val="single"/>
        </w:rPr>
        <w:t>‘Het</w:t>
      </w:r>
      <w:r>
        <w:rPr>
          <w:i/>
          <w:iCs/>
          <w:u w:val="single"/>
        </w:rPr>
        <w:t xml:space="preserve"> zevende gebod en wij</w:t>
      </w:r>
      <w:r>
        <w:rPr>
          <w:i/>
          <w:iCs/>
          <w:u w:val="single"/>
        </w:rPr>
        <w:t>’</w:t>
      </w:r>
    </w:p>
    <w:p w14:paraId="49423139" w14:textId="4D3406EE" w:rsidR="00FB4DAF" w:rsidRDefault="00FB4DAF" w:rsidP="00FB4DAF">
      <w:pPr>
        <w:spacing w:line="281" w:lineRule="auto"/>
        <w:ind w:left="-567"/>
      </w:pPr>
      <w:r w:rsidRPr="00A3710B">
        <w:rPr>
          <w:rFonts w:cstheme="minorHAnsi"/>
          <w:i/>
          <w:iCs/>
          <w:u w:val="single"/>
        </w:rPr>
        <w:t>1.</w:t>
      </w:r>
      <w:r w:rsidRPr="00A3710B">
        <w:rPr>
          <w:i/>
          <w:iCs/>
          <w:u w:val="single"/>
        </w:rPr>
        <w:t xml:space="preserve"> </w:t>
      </w:r>
      <w:r>
        <w:rPr>
          <w:i/>
          <w:iCs/>
          <w:u w:val="single"/>
        </w:rPr>
        <w:t>Wat het ons leert over echtscheiding</w:t>
      </w:r>
      <w:r>
        <w:rPr>
          <w:i/>
          <w:iCs/>
          <w:u w:val="single"/>
        </w:rPr>
        <w:br/>
      </w:r>
      <w:r>
        <w:t>Voorbeeld voor de kinderen: twee papiertjes aan elkaar geplakt…</w:t>
      </w:r>
    </w:p>
    <w:p w14:paraId="487889C5" w14:textId="62B1A635" w:rsidR="00FB4DAF" w:rsidRDefault="00FB4DAF" w:rsidP="00FB4DAF">
      <w:pPr>
        <w:spacing w:line="281" w:lineRule="auto"/>
        <w:ind w:left="-567"/>
      </w:pPr>
      <w:r w:rsidRPr="00FB4DAF">
        <w:t xml:space="preserve">Het huwelijk is een verbond waarvan de HEERE Getuige is (Mal. 2,14). </w:t>
      </w:r>
      <w:r w:rsidRPr="00FB4DAF">
        <w:t>Toch is de verdrietige werkelijkheid dat er huwelijken eindigen in een echtscheiding.</w:t>
      </w:r>
      <w:r>
        <w:t xml:space="preserve"> </w:t>
      </w:r>
      <w:r w:rsidRPr="00FB4DAF">
        <w:t>W</w:t>
      </w:r>
      <w:r w:rsidRPr="00FB4DAF">
        <w:t>at zegt de HEERE Zelf over uit elkaar gaan van man en vrouw?</w:t>
      </w:r>
    </w:p>
    <w:p w14:paraId="54422F59" w14:textId="409A08D0" w:rsidR="00FB4DAF" w:rsidRDefault="00FB4DAF" w:rsidP="00FB4DAF">
      <w:pPr>
        <w:spacing w:line="281" w:lineRule="auto"/>
        <w:ind w:left="-567"/>
      </w:pPr>
      <w:r>
        <w:t xml:space="preserve">Echtscheidingen werden erkend. Zie bijv. Lev. 23,13. Er is maar één OT-passage die gaat over echtscheiding zelf: Deut. 24,1-4. De man mag zijn vrouw een echtscheidingsbrief geven als hij </w:t>
      </w:r>
      <w:r w:rsidRPr="00FB4DAF">
        <w:rPr>
          <w:i/>
          <w:iCs/>
        </w:rPr>
        <w:t>‘iets schandelijks aan haar gevonden heeft’</w:t>
      </w:r>
      <w:r>
        <w:rPr>
          <w:i/>
          <w:iCs/>
        </w:rPr>
        <w:t xml:space="preserve">. </w:t>
      </w:r>
      <w:r>
        <w:t xml:space="preserve">Wat </w:t>
      </w:r>
      <w:r w:rsidR="0094305A">
        <w:t>bet</w:t>
      </w:r>
      <w:r>
        <w:t xml:space="preserve">ekent dat? Waarschijnlijk: iets wat schaamte veroorzaakt (losbandig gedrag?). </w:t>
      </w:r>
    </w:p>
    <w:p w14:paraId="086FB3D4" w14:textId="425FE068" w:rsidR="00FB4DAF" w:rsidRDefault="00FB4DAF" w:rsidP="00FB4DAF">
      <w:pPr>
        <w:spacing w:line="281" w:lineRule="auto"/>
        <w:ind w:left="-567"/>
      </w:pPr>
      <w:r>
        <w:t xml:space="preserve">Echtscheiding was dus mogelijk, maar de HEERE schept er geen behagen in. Mal. 2,16: de HEERE haat het verlaten. </w:t>
      </w:r>
      <w:r w:rsidR="00560A08" w:rsidRPr="00560A08">
        <w:t xml:space="preserve">De kanttekening bij dat vers: ‘te weten </w:t>
      </w:r>
      <w:r w:rsidR="00560A08">
        <w:t>[…]</w:t>
      </w:r>
      <w:r w:rsidR="00560A08" w:rsidRPr="00560A08">
        <w:t xml:space="preserve"> uw wettige huisvrouwen, die met een scheidbrief wegzendende.’</w:t>
      </w:r>
      <w:r w:rsidR="00560A08">
        <w:t xml:space="preserve"> Gods gebod is duidelijk</w:t>
      </w:r>
      <w:r w:rsidR="00E86C60">
        <w:t>, zie:</w:t>
      </w:r>
      <w:r w:rsidR="00560A08">
        <w:t xml:space="preserve"> Ex. 20 en Deut. 5. </w:t>
      </w:r>
    </w:p>
    <w:p w14:paraId="4E4383AD" w14:textId="3E0D1331" w:rsidR="00560A08" w:rsidRDefault="00560A08" w:rsidP="00FB4DAF">
      <w:pPr>
        <w:spacing w:line="281" w:lineRule="auto"/>
        <w:ind w:left="-567"/>
      </w:pPr>
      <w:r w:rsidRPr="00560A08">
        <w:t>Nieuwe Testament: van Deut. 24,1 werd lichtvaardig gebruik gemaakt. De Heere brengt de wet van God naar voren: in de Bergrede en in Matth. 19 (‘wat God samengevoegd heeft, scheide de mens niet’). W</w:t>
      </w:r>
      <w:r w:rsidRPr="00560A08">
        <w:t xml:space="preserve">aarom dan de echtscheidingsbrief? </w:t>
      </w:r>
      <w:r w:rsidRPr="00560A08">
        <w:t>Hierom:</w:t>
      </w:r>
      <w:r w:rsidRPr="00560A08">
        <w:t xml:space="preserve"> </w:t>
      </w:r>
      <w:r w:rsidRPr="00560A08">
        <w:rPr>
          <w:i/>
          <w:iCs/>
        </w:rPr>
        <w:t>‘Mozes heeft vanwege de hardigheid uwer harten u toegelaten uw vrouwen te verlaten’</w:t>
      </w:r>
      <w:r>
        <w:rPr>
          <w:i/>
          <w:iCs/>
        </w:rPr>
        <w:t xml:space="preserve"> </w:t>
      </w:r>
      <w:r>
        <w:t xml:space="preserve">Let op het woordje ‘toelaten’. </w:t>
      </w:r>
    </w:p>
    <w:p w14:paraId="16A60E27" w14:textId="4B1FC8B6" w:rsidR="00560A08" w:rsidRDefault="00560A08" w:rsidP="00FB4DAF">
      <w:pPr>
        <w:spacing w:line="281" w:lineRule="auto"/>
        <w:ind w:left="-567"/>
      </w:pPr>
      <w:r w:rsidRPr="00560A08">
        <w:t>De Heere benoemt één reden waarom man en vrouw mogen scheiden (Matth. 19,9).</w:t>
      </w:r>
      <w:r w:rsidRPr="00560A08">
        <w:t xml:space="preserve"> Dan is scheiding toegestaan. Het hoeft niet! Wat gebroken is, kan door Gods genade weer héél worden. </w:t>
      </w:r>
      <w:r>
        <w:t xml:space="preserve">Er moet wel veel verwerkt worden. De christelijke gemeente moet klaar staan! </w:t>
      </w:r>
    </w:p>
    <w:p w14:paraId="1D63CB8E" w14:textId="16351B8D" w:rsidR="00560A08" w:rsidRDefault="00560A08" w:rsidP="00FB4DAF">
      <w:pPr>
        <w:spacing w:line="281" w:lineRule="auto"/>
        <w:ind w:left="-567"/>
      </w:pPr>
      <w:r>
        <w:t>En als jezelf de schuldige bent? De zonde is ernstig</w:t>
      </w:r>
      <w:r w:rsidR="00E86C60">
        <w:t>, maar d</w:t>
      </w:r>
      <w:r>
        <w:t>e genade meerder (Spr. 28,13; Joh. 8,11)</w:t>
      </w:r>
      <w:r w:rsidR="00973AE2">
        <w:t>.</w:t>
      </w:r>
    </w:p>
    <w:p w14:paraId="2687B120" w14:textId="76A3BFA2" w:rsidR="00973AE2" w:rsidRDefault="00973AE2" w:rsidP="00FB4DAF">
      <w:pPr>
        <w:spacing w:line="281" w:lineRule="auto"/>
        <w:ind w:left="-567"/>
      </w:pPr>
      <w:r>
        <w:t xml:space="preserve">Naar 1 Kor. 7. Hier horen we van een tweede echtscheidingsgrond. Korintische achtergrond. Man kwam tot geloof en de vrouw niet of andersom. Gebeurt vandaag de dag ook. En wat dan? Als de ongelovige ‘partij’ in vrede met de gelovige partij kan blijven leven, mag de gelovige geen scheiding aanvragen. Let ook op 1 Kor. 7,14. </w:t>
      </w:r>
    </w:p>
    <w:p w14:paraId="02FBAC15" w14:textId="4E2D8D32" w:rsidR="00973AE2" w:rsidRDefault="00973AE2" w:rsidP="00FB4DAF">
      <w:pPr>
        <w:spacing w:line="281" w:lineRule="auto"/>
        <w:ind w:left="-567"/>
      </w:pPr>
      <w:r>
        <w:t xml:space="preserve">Soms wilde ongelovige partij er vandoor. De gelovige die om die reden verlaten wordt, is dan vrij om te hertrouwen (dit noemen we: scheiding om </w:t>
      </w:r>
      <w:r>
        <w:rPr>
          <w:i/>
          <w:iCs/>
        </w:rPr>
        <w:t>causa religion</w:t>
      </w:r>
      <w:r w:rsidR="0094305A">
        <w:rPr>
          <w:i/>
          <w:iCs/>
        </w:rPr>
        <w:t>i</w:t>
      </w:r>
      <w:r>
        <w:rPr>
          <w:i/>
          <w:iCs/>
        </w:rPr>
        <w:t>s</w:t>
      </w:r>
      <w:r>
        <w:t xml:space="preserve"> = uit oorzaak van de religie).</w:t>
      </w:r>
    </w:p>
    <w:p w14:paraId="6E8FC980" w14:textId="08CED996" w:rsidR="00973AE2" w:rsidRPr="00973AE2" w:rsidRDefault="00973AE2" w:rsidP="00FB4DAF">
      <w:pPr>
        <w:spacing w:line="281" w:lineRule="auto"/>
        <w:ind w:left="-567"/>
      </w:pPr>
      <w:r w:rsidRPr="00973AE2">
        <w:t>Andere echtscheidingsgronden dan de twee die nu genoemd zijn, leert Gods Woord niet.</w:t>
      </w:r>
      <w:r w:rsidRPr="00973AE2">
        <w:t xml:space="preserve"> Maar toch zijn we nog niet klaar. De werkelijkheid is dat een huwelijk ook om andere redenen onhoudbaar kan worden. </w:t>
      </w:r>
      <w:r w:rsidRPr="00973AE2">
        <w:t xml:space="preserve">We hebben te maken met een gebroken werkelijkheid door onze zonden. </w:t>
      </w:r>
      <w:r w:rsidRPr="00973AE2">
        <w:t>Bij huwelijksproblemen is de goede weg die van de bekering en verootmoediging</w:t>
      </w:r>
      <w:r w:rsidR="0094305A">
        <w:t xml:space="preserve"> voor Gods aangezicht</w:t>
      </w:r>
      <w:r w:rsidRPr="00973AE2">
        <w:t xml:space="preserve">, gezamenlijk. </w:t>
      </w:r>
    </w:p>
    <w:p w14:paraId="752B053B" w14:textId="64615216" w:rsidR="00973AE2" w:rsidRDefault="00973AE2" w:rsidP="00FB4DAF">
      <w:pPr>
        <w:spacing w:line="281" w:lineRule="auto"/>
        <w:ind w:left="-567"/>
      </w:pPr>
      <w:r w:rsidRPr="00973AE2">
        <w:t xml:space="preserve">En toch, soms gaat het niet meer. Of wil de één </w:t>
      </w:r>
      <w:r>
        <w:t xml:space="preserve">wil </w:t>
      </w:r>
      <w:r w:rsidRPr="00973AE2">
        <w:t xml:space="preserve">wel en de ander geen hulp. Hier kom je op het gebied van de ‘kwaadwillige verlating’. </w:t>
      </w:r>
      <w:r w:rsidRPr="00973AE2">
        <w:t>Er kan een moment komen dat je er aan onderdoor gaat, je gaat kapot aan je huwelijk. Wat vreten de gevolgen van de zondeval zich diep in in het huwelijksleven.</w:t>
      </w:r>
    </w:p>
    <w:p w14:paraId="35278BE3" w14:textId="1B51364A" w:rsidR="00E86C60" w:rsidRPr="00E86C60" w:rsidRDefault="00973AE2" w:rsidP="00E86C60">
      <w:pPr>
        <w:spacing w:line="281" w:lineRule="auto"/>
        <w:ind w:left="-567"/>
      </w:pPr>
      <w:r w:rsidRPr="00E86C60">
        <w:t xml:space="preserve">Maar mag je dan scheiden? De kerk zal </w:t>
      </w:r>
      <w:r w:rsidR="00E86C60" w:rsidRPr="00E86C60">
        <w:t xml:space="preserve">er niet op aansturen. </w:t>
      </w:r>
      <w:r w:rsidR="00E86C60" w:rsidRPr="00E86C60">
        <w:t xml:space="preserve">Maar als een huwelijk toch ontbonden wordt, zal de kerk zich over deze mensen </w:t>
      </w:r>
      <w:r w:rsidR="00E86C60">
        <w:t xml:space="preserve">proberen te </w:t>
      </w:r>
      <w:r w:rsidR="00E86C60" w:rsidRPr="00E86C60">
        <w:t xml:space="preserve">ontfermen. Er is een gebrokenheid in deze wereld, die zich niet negeren laat. </w:t>
      </w:r>
    </w:p>
    <w:p w14:paraId="381AB9FF" w14:textId="72361497" w:rsidR="00E86C60" w:rsidRPr="00E86C60" w:rsidRDefault="00E86C60" w:rsidP="00E86C60">
      <w:pPr>
        <w:spacing w:line="281" w:lineRule="auto"/>
        <w:ind w:left="-567"/>
      </w:pPr>
      <w:r w:rsidRPr="00E86C60">
        <w:lastRenderedPageBreak/>
        <w:t xml:space="preserve">Hoe omgaan met censuur? Terughoudend. Daarbij: kerkenraad is geen recherchepolitie. Maar soms is censuur wel gepast. </w:t>
      </w:r>
    </w:p>
    <w:p w14:paraId="1FC0CF55" w14:textId="2E3F4D5E" w:rsidR="00E86C60" w:rsidRDefault="00E86C60" w:rsidP="00E86C60">
      <w:pPr>
        <w:spacing w:line="281" w:lineRule="auto"/>
        <w:ind w:left="-567"/>
      </w:pPr>
      <w:r w:rsidRPr="00E86C60">
        <w:t>En hertrouwen? Dus na een echtscheiding om een ándere reden dan overspel of verlating door de ongelovige man of vrouw? Moet je dan alleen blijven? Dat is wel het zuivere Bijbelse antwoord. Dat zal de kerk uitdragen. Als de praktijk anders is dan zal de kerk in wijsheid en voorzichtigheid handelen</w:t>
      </w:r>
      <w:r>
        <w:t>.</w:t>
      </w:r>
    </w:p>
    <w:p w14:paraId="3B57C8C6" w14:textId="5FFAB7D8" w:rsidR="006659CF" w:rsidRPr="006659CF" w:rsidRDefault="00E86C60" w:rsidP="0094305A">
      <w:pPr>
        <w:spacing w:line="281" w:lineRule="auto"/>
        <w:ind w:left="-567"/>
      </w:pPr>
      <w:r>
        <w:t xml:space="preserve">Twee focuspunten: heiligheid én (niet: of) veiligheid. </w:t>
      </w:r>
      <w:r w:rsidR="006659CF">
        <w:br/>
      </w:r>
      <w:r w:rsidR="0094305A">
        <w:rPr>
          <w:rFonts w:cstheme="minorHAnsi"/>
          <w:i/>
          <w:iCs/>
          <w:u w:val="single"/>
        </w:rPr>
        <w:br/>
      </w:r>
      <w:r w:rsidR="00FB4DAF" w:rsidRPr="00A53117">
        <w:rPr>
          <w:rFonts w:cstheme="minorHAnsi"/>
          <w:i/>
          <w:iCs/>
          <w:u w:val="single"/>
        </w:rPr>
        <w:t xml:space="preserve">2. </w:t>
      </w:r>
      <w:r w:rsidR="00FB4DAF">
        <w:rPr>
          <w:rFonts w:cstheme="minorHAnsi"/>
          <w:i/>
          <w:iCs/>
          <w:u w:val="single"/>
        </w:rPr>
        <w:t>Wat het ons leert over onze levenswandel</w:t>
      </w:r>
      <w:r w:rsidR="004D2F27">
        <w:rPr>
          <w:rFonts w:cstheme="minorHAnsi"/>
          <w:i/>
          <w:iCs/>
          <w:u w:val="single"/>
        </w:rPr>
        <w:br/>
      </w:r>
      <w:r w:rsidR="006659CF" w:rsidRPr="006659CF">
        <w:t>H</w:t>
      </w:r>
      <w:r w:rsidR="004D2F27" w:rsidRPr="006659CF">
        <w:t xml:space="preserve">et woord onkuisheid </w:t>
      </w:r>
      <w:r w:rsidR="004D2F27" w:rsidRPr="006659CF">
        <w:t>b</w:t>
      </w:r>
      <w:r w:rsidR="004D2F27" w:rsidRPr="006659CF">
        <w:t>etekent ‘onzedelijkheid’</w:t>
      </w:r>
      <w:r w:rsidR="004D2F27" w:rsidRPr="006659CF">
        <w:t xml:space="preserve">. </w:t>
      </w:r>
      <w:r w:rsidR="004D2F27" w:rsidRPr="006659CF">
        <w:t>Er vindt echtbreuk plaats tussen God en de christen als een christen zich schuldig maakt aan hoererij</w:t>
      </w:r>
      <w:r w:rsidR="004D2F27" w:rsidRPr="006659CF">
        <w:t xml:space="preserve"> (letterlijk of niet letterlijk). </w:t>
      </w:r>
      <w:r w:rsidR="006659CF" w:rsidRPr="006659CF">
        <w:t xml:space="preserve">Het lichaam van de christen is een tempel van de Heilige Geest. Paulus keert zich tegen het Griekse ‘knip-denken’ (met je lichaam mag je zondigen). Nee, zie 1 Kor. 6,20. </w:t>
      </w:r>
    </w:p>
    <w:p w14:paraId="237555D1" w14:textId="0496F408" w:rsidR="006659CF" w:rsidRPr="006659CF" w:rsidRDefault="006659CF" w:rsidP="006659CF">
      <w:pPr>
        <w:spacing w:line="281" w:lineRule="auto"/>
        <w:ind w:left="-567"/>
      </w:pPr>
      <w:r w:rsidRPr="006659CF">
        <w:rPr>
          <w:rFonts w:cstheme="minorHAnsi"/>
        </w:rPr>
        <w:t>Wandelen naar het vlees of naar de Geest?</w:t>
      </w:r>
      <w:r w:rsidRPr="006659CF">
        <w:t xml:space="preserve"> Wij hebben nodig dat we leven van genade en dat we ieder</w:t>
      </w:r>
      <w:r w:rsidR="0094305A">
        <w:t>e</w:t>
      </w:r>
      <w:r w:rsidRPr="006659CF">
        <w:t xml:space="preserve"> dag bidden met David</w:t>
      </w:r>
      <w:r w:rsidRPr="006659CF">
        <w:t xml:space="preserve"> wat er staat in Ps. 51. Om staande te blijven in onze tijd. </w:t>
      </w:r>
    </w:p>
    <w:p w14:paraId="3714CA17" w14:textId="0F70FCEF" w:rsidR="006659CF" w:rsidRPr="006659CF" w:rsidRDefault="006659CF" w:rsidP="006659CF">
      <w:pPr>
        <w:spacing w:line="281" w:lineRule="auto"/>
        <w:ind w:left="-567"/>
      </w:pPr>
      <w:r w:rsidRPr="006659CF">
        <w:t xml:space="preserve">Concreet: hoe kleden we ons? Mediagebruik? Kijken naar…, hoe praat je over het andere geslacht? Er is een gigantische verwording en verwarring in ons land (en niet alleen het onze). </w:t>
      </w:r>
      <w:r w:rsidRPr="006659CF">
        <w:br/>
      </w:r>
      <w:r w:rsidRPr="006659CF">
        <w:t>Vooral sinds de jaren 60 van de vorige eeuw zijn er wissels omgegaan. Alles is zo ongeveer omver getrokken. De gevolgen? Abortus, echtscheidingen, regenbooggezinnen, co-ouders, en ga zo maar door.</w:t>
      </w:r>
    </w:p>
    <w:p w14:paraId="49ED926D" w14:textId="4662FBB9" w:rsidR="00FB4DAF" w:rsidRDefault="006659CF" w:rsidP="006659CF">
      <w:pPr>
        <w:spacing w:line="281" w:lineRule="auto"/>
        <w:ind w:left="-567"/>
      </w:pPr>
      <w:r w:rsidRPr="006659CF">
        <w:t>Maar dwars door dit alles heen heeft God Zijn geheiligd volk</w:t>
      </w:r>
      <w:r>
        <w:t xml:space="preserve"> (onder oud en jong)</w:t>
      </w:r>
      <w:r w:rsidRPr="006659CF">
        <w:t xml:space="preserve">. Van hen geldt wat we lezen in 1 Kor. 6,11: </w:t>
      </w:r>
      <w:r w:rsidRPr="006659CF">
        <w:rPr>
          <w:i/>
          <w:iCs/>
        </w:rPr>
        <w:t>maar gij zijt afgewassen, maar gij zijt geheiligd, maar gij zijt gerechtvaardigd in den Naam van den Heere Jezus en door de Geest van onze God.’</w:t>
      </w:r>
    </w:p>
    <w:p w14:paraId="6468E61B" w14:textId="6C5B1BDD" w:rsidR="00FB4DAF" w:rsidRPr="0094305A" w:rsidRDefault="006659CF" w:rsidP="0094305A">
      <w:pPr>
        <w:spacing w:line="281" w:lineRule="auto"/>
        <w:ind w:left="-567"/>
        <w:rPr>
          <w:rFonts w:cstheme="minorHAnsi"/>
          <w:shd w:val="clear" w:color="auto" w:fill="FFFFFF"/>
        </w:rPr>
      </w:pPr>
      <w:r>
        <w:br/>
      </w:r>
      <w:r w:rsidR="00FB4DAF">
        <w:rPr>
          <w:rFonts w:cstheme="minorHAnsi"/>
          <w:i/>
          <w:iCs/>
          <w:u w:val="single"/>
          <w:shd w:val="clear" w:color="auto" w:fill="FFFFFF"/>
        </w:rPr>
        <w:t>Vragen om over door te praten en/of voor persoonlijke bezinning</w:t>
      </w:r>
      <w:r w:rsidR="00FB4DAF">
        <w:rPr>
          <w:rFonts w:cstheme="minorHAnsi"/>
          <w:shd w:val="clear" w:color="auto" w:fill="FFFFFF"/>
        </w:rPr>
        <w:t xml:space="preserve"> </w:t>
      </w:r>
      <w:r w:rsidR="00FB4DAF">
        <w:rPr>
          <w:rFonts w:cstheme="minorHAnsi"/>
          <w:shd w:val="clear" w:color="auto" w:fill="FFFFFF"/>
        </w:rPr>
        <w:br/>
      </w:r>
      <w:r w:rsidR="00E86C60" w:rsidRPr="00E86C60">
        <w:rPr>
          <w:rFonts w:cstheme="minorHAnsi"/>
          <w:shd w:val="clear" w:color="auto" w:fill="FFFFFF"/>
        </w:rPr>
        <w:t>1.</w:t>
      </w:r>
      <w:r w:rsidR="00E86C60">
        <w:rPr>
          <w:rFonts w:cstheme="minorHAnsi"/>
          <w:shd w:val="clear" w:color="auto" w:fill="FFFFFF"/>
        </w:rPr>
        <w:tab/>
        <w:t xml:space="preserve">Wat moet volgens u/jou de rol van de kerk zijn in huwelijksvoorbereiding? Heeft u daar ideeën bij </w:t>
      </w:r>
      <w:r w:rsidR="00E86C60">
        <w:rPr>
          <w:rFonts w:cstheme="minorHAnsi"/>
          <w:shd w:val="clear" w:color="auto" w:fill="FFFFFF"/>
        </w:rPr>
        <w:tab/>
        <w:t>(laat u ze mij gerust weten!</w:t>
      </w:r>
      <w:r w:rsidR="004D2F27">
        <w:rPr>
          <w:rFonts w:cstheme="minorHAnsi"/>
          <w:shd w:val="clear" w:color="auto" w:fill="FFFFFF"/>
        </w:rPr>
        <w:t>)</w:t>
      </w:r>
      <w:r w:rsidR="00E86C60">
        <w:rPr>
          <w:rFonts w:cstheme="minorHAnsi"/>
          <w:shd w:val="clear" w:color="auto" w:fill="FFFFFF"/>
        </w:rPr>
        <w:br/>
        <w:t>2.</w:t>
      </w:r>
      <w:r w:rsidR="004D2F27">
        <w:rPr>
          <w:rFonts w:cstheme="minorHAnsi"/>
          <w:shd w:val="clear" w:color="auto" w:fill="FFFFFF"/>
        </w:rPr>
        <w:tab/>
        <w:t xml:space="preserve">Hoe zou het (toenemende) verschijnsel van overspel verklaard kunnen worden in het licht van onze </w:t>
      </w:r>
      <w:r w:rsidR="004D2F27">
        <w:rPr>
          <w:rFonts w:cstheme="minorHAnsi"/>
          <w:shd w:val="clear" w:color="auto" w:fill="FFFFFF"/>
        </w:rPr>
        <w:tab/>
        <w:t xml:space="preserve">tijd? </w:t>
      </w:r>
      <w:r w:rsidR="004D2F27">
        <w:rPr>
          <w:rFonts w:cstheme="minorHAnsi"/>
          <w:shd w:val="clear" w:color="auto" w:fill="FFFFFF"/>
        </w:rPr>
        <w:br/>
        <w:t>3.</w:t>
      </w:r>
      <w:r w:rsidR="004D2F27">
        <w:rPr>
          <w:rFonts w:cstheme="minorHAnsi"/>
          <w:shd w:val="clear" w:color="auto" w:fill="FFFFFF"/>
        </w:rPr>
        <w:tab/>
        <w:t xml:space="preserve">Wat werd er in de preek bedoeld met ‘heiligheid en veiligheid’? Waarom is het bijna niet te </w:t>
      </w:r>
      <w:r w:rsidR="004D2F27">
        <w:rPr>
          <w:rFonts w:cstheme="minorHAnsi"/>
          <w:shd w:val="clear" w:color="auto" w:fill="FFFFFF"/>
        </w:rPr>
        <w:tab/>
        <w:t xml:space="preserve">vermijden dat er spanning optreedt tussen deze zaken? Wat vindt u van de ‘balans’ in onze </w:t>
      </w:r>
      <w:r w:rsidR="004D2F27">
        <w:rPr>
          <w:rFonts w:cstheme="minorHAnsi"/>
          <w:shd w:val="clear" w:color="auto" w:fill="FFFFFF"/>
        </w:rPr>
        <w:tab/>
        <w:t>gemeente in heiligheid en veiligheid?</w:t>
      </w:r>
      <w:r w:rsidR="004D2F27">
        <w:rPr>
          <w:rFonts w:cstheme="minorHAnsi"/>
          <w:shd w:val="clear" w:color="auto" w:fill="FFFFFF"/>
        </w:rPr>
        <w:br/>
        <w:t>4.</w:t>
      </w:r>
      <w:r w:rsidR="004D2F27">
        <w:rPr>
          <w:rFonts w:cstheme="minorHAnsi"/>
          <w:shd w:val="clear" w:color="auto" w:fill="FFFFFF"/>
        </w:rPr>
        <w:tab/>
        <w:t xml:space="preserve">Waarom is zowel Joh. 8,7 en Joh. 8,11 zo belangrijk? En wat hebben ze met de woorden van vrg. 3 te </w:t>
      </w:r>
      <w:r w:rsidR="004D2F27">
        <w:rPr>
          <w:rFonts w:cstheme="minorHAnsi"/>
          <w:shd w:val="clear" w:color="auto" w:fill="FFFFFF"/>
        </w:rPr>
        <w:tab/>
        <w:t xml:space="preserve">maken? </w:t>
      </w:r>
      <w:r>
        <w:rPr>
          <w:rFonts w:cstheme="minorHAnsi"/>
          <w:shd w:val="clear" w:color="auto" w:fill="FFFFFF"/>
        </w:rPr>
        <w:br/>
        <w:t>5.</w:t>
      </w:r>
      <w:r>
        <w:rPr>
          <w:rFonts w:cstheme="minorHAnsi"/>
          <w:shd w:val="clear" w:color="auto" w:fill="FFFFFF"/>
        </w:rPr>
        <w:tab/>
        <w:t>Hoe ga jij/u om met verleidingen op het gebied van seksualiteit? Wat zegt Ps. 51:5 (ber.) jou/u?</w:t>
      </w:r>
      <w:r>
        <w:rPr>
          <w:rFonts w:cstheme="minorHAnsi"/>
          <w:shd w:val="clear" w:color="auto" w:fill="FFFFFF"/>
        </w:rPr>
        <w:br/>
        <w:t>6.</w:t>
      </w:r>
      <w:r>
        <w:rPr>
          <w:rFonts w:cstheme="minorHAnsi"/>
          <w:shd w:val="clear" w:color="auto" w:fill="FFFFFF"/>
        </w:rPr>
        <w:tab/>
        <w:t>Hoe worden wij rein en heilig voor God? En hoe blijven we het?!</w:t>
      </w:r>
      <w:r>
        <w:rPr>
          <w:rFonts w:cstheme="minorHAnsi"/>
          <w:shd w:val="clear" w:color="auto" w:fill="FFFFFF"/>
        </w:rPr>
        <w:br/>
      </w:r>
      <w:r w:rsidR="0094305A">
        <w:rPr>
          <w:rFonts w:cstheme="minorHAnsi"/>
          <w:shd w:val="clear" w:color="auto" w:fill="FFFFFF"/>
        </w:rPr>
        <w:br/>
      </w:r>
      <w:r w:rsidR="00FB4DAF" w:rsidRPr="00FD68AB">
        <w:rPr>
          <w:rFonts w:cstheme="minorHAnsi"/>
          <w:i/>
          <w:iCs/>
          <w:u w:val="single"/>
          <w:shd w:val="clear" w:color="auto" w:fill="FFFFFF"/>
        </w:rPr>
        <w:t>Voor de kinderen</w:t>
      </w:r>
      <w:r w:rsidR="00FB4DAF" w:rsidRPr="00FD68AB">
        <w:rPr>
          <w:rFonts w:cstheme="minorHAnsi"/>
          <w:shd w:val="clear" w:color="auto" w:fill="FFFFFF"/>
        </w:rPr>
        <w:tab/>
      </w:r>
      <w:r w:rsidR="00FB4DAF">
        <w:rPr>
          <w:rFonts w:cstheme="minorHAnsi"/>
          <w:shd w:val="clear" w:color="auto" w:fill="FFFFFF"/>
        </w:rPr>
        <w:br/>
        <w:t xml:space="preserve"> </w:t>
      </w:r>
      <w:r>
        <w:rPr>
          <w:rFonts w:cstheme="minorHAnsi"/>
          <w:shd w:val="clear" w:color="auto" w:fill="FFFFFF"/>
        </w:rPr>
        <w:t>1.</w:t>
      </w:r>
      <w:r>
        <w:rPr>
          <w:rFonts w:cstheme="minorHAnsi"/>
          <w:shd w:val="clear" w:color="auto" w:fill="FFFFFF"/>
        </w:rPr>
        <w:tab/>
        <w:t xml:space="preserve">Wat leer jij op school over seksuele voorlichting? </w:t>
      </w:r>
      <w:r w:rsidR="0094305A">
        <w:rPr>
          <w:rFonts w:cstheme="minorHAnsi"/>
          <w:shd w:val="clear" w:color="auto" w:fill="FFFFFF"/>
        </w:rPr>
        <w:t xml:space="preserve">Komt wat jij leert op school overeen met Gods </w:t>
      </w:r>
      <w:r w:rsidR="0094305A">
        <w:rPr>
          <w:rFonts w:cstheme="minorHAnsi"/>
          <w:shd w:val="clear" w:color="auto" w:fill="FFFFFF"/>
        </w:rPr>
        <w:tab/>
        <w:t xml:space="preserve">Woord? </w:t>
      </w:r>
    </w:p>
    <w:p w14:paraId="27507380" w14:textId="77777777" w:rsidR="00FB4DAF" w:rsidRDefault="00FB4DAF" w:rsidP="00FB4DAF"/>
    <w:p w14:paraId="664BF67A" w14:textId="77777777" w:rsidR="00063F31" w:rsidRDefault="00063F31"/>
    <w:sectPr w:rsidR="00063F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0496C"/>
    <w:multiLevelType w:val="hybridMultilevel"/>
    <w:tmpl w:val="EB4C87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DAF"/>
    <w:rsid w:val="00063F31"/>
    <w:rsid w:val="004D2F27"/>
    <w:rsid w:val="00560A08"/>
    <w:rsid w:val="006659CF"/>
    <w:rsid w:val="0094305A"/>
    <w:rsid w:val="00973AE2"/>
    <w:rsid w:val="00E86C60"/>
    <w:rsid w:val="00FB4D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A44DA"/>
  <w15:chartTrackingRefBased/>
  <w15:docId w15:val="{DA9D7BCF-907C-4D47-BE53-C394AC76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B4DAF"/>
    <w:pPr>
      <w:spacing w:line="254"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B4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896</Words>
  <Characters>4929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Predikant CGK Zaamslag</dc:creator>
  <cp:keywords/>
  <dc:description/>
  <cp:lastModifiedBy>Predikant CGK Zaamslag</cp:lastModifiedBy>
  <cp:revision>1</cp:revision>
  <dcterms:created xsi:type="dcterms:W3CDTF">2023-11-25T09:48:00Z</dcterms:created>
  <dcterms:modified xsi:type="dcterms:W3CDTF">2023-11-25T10:56:00Z</dcterms:modified>
</cp:coreProperties>
</file>