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CCA2" w14:textId="2DD24F22" w:rsidR="00BB2068" w:rsidRDefault="00BB2068" w:rsidP="00BB2068">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4</w:t>
      </w:r>
      <w:r w:rsidRPr="00790F9A">
        <w:rPr>
          <w:rFonts w:cstheme="minorHAnsi"/>
          <w:b/>
          <w:bCs/>
          <w:u w:val="single"/>
        </w:rPr>
        <w:br/>
      </w:r>
      <w:r w:rsidRPr="00790F9A">
        <w:rPr>
          <w:rFonts w:cstheme="minorHAnsi"/>
          <w:i/>
          <w:iCs/>
        </w:rPr>
        <w:t>Schriftlezing</w:t>
      </w:r>
      <w:r>
        <w:rPr>
          <w:rFonts w:cstheme="minorHAnsi"/>
          <w:i/>
          <w:iCs/>
        </w:rPr>
        <w:t xml:space="preserve">en: </w:t>
      </w:r>
      <w:r>
        <w:rPr>
          <w:rFonts w:cstheme="minorHAnsi"/>
          <w:i/>
          <w:iCs/>
        </w:rPr>
        <w:t>Deuteronomium 6,1-15 en 20-25</w:t>
      </w:r>
    </w:p>
    <w:p w14:paraId="719892DA" w14:textId="1380BA61" w:rsidR="00BB2068" w:rsidRPr="009B2037" w:rsidRDefault="00BB2068" w:rsidP="009B2037">
      <w:pPr>
        <w:spacing w:line="264" w:lineRule="auto"/>
        <w:ind w:left="-567"/>
        <w:rPr>
          <w:rFonts w:cstheme="minorHAnsi"/>
          <w:i/>
          <w:iCs/>
          <w:u w:val="single"/>
        </w:rPr>
      </w:pPr>
      <w:r w:rsidRPr="00F757FF">
        <w:rPr>
          <w:rFonts w:cstheme="minorHAnsi"/>
          <w:i/>
          <w:iCs/>
          <w:u w:val="single"/>
        </w:rPr>
        <w:t>Inleiding</w:t>
      </w:r>
      <w:r>
        <w:rPr>
          <w:rFonts w:cstheme="minorHAnsi"/>
          <w:i/>
          <w:iCs/>
          <w:u w:val="single"/>
        </w:rPr>
        <w:br/>
      </w:r>
      <w:r>
        <w:t>We hoeven als mensen niet zelf te bedenken wat goed of wat niet goed is. Dat mógen we trouwens ook niet doen.</w:t>
      </w:r>
      <w:r>
        <w:t xml:space="preserve"> God gaf ons Zijn wet. </w:t>
      </w:r>
      <w:r>
        <w:rPr>
          <w:rFonts w:cstheme="minorHAnsi"/>
          <w:i/>
          <w:iCs/>
          <w:u w:val="single"/>
        </w:rPr>
        <w:br/>
      </w:r>
      <w:r>
        <w:rPr>
          <w:rFonts w:cstheme="minorHAnsi"/>
          <w:i/>
          <w:iCs/>
        </w:rPr>
        <w:br/>
      </w:r>
      <w:r w:rsidRPr="00BB2068">
        <w:rPr>
          <w:rFonts w:cstheme="minorHAnsi"/>
          <w:i/>
          <w:iCs/>
          <w:u w:val="single"/>
        </w:rPr>
        <w:t>Thema: “</w:t>
      </w:r>
      <w:r w:rsidRPr="00BB2068">
        <w:rPr>
          <w:i/>
          <w:iCs/>
          <w:u w:val="single"/>
        </w:rPr>
        <w:t>De HEERE gaf Israël en ons Zijn heilige wet</w:t>
      </w:r>
      <w:r w:rsidRPr="00BB2068">
        <w:rPr>
          <w:i/>
          <w:iCs/>
          <w:u w:val="single"/>
        </w:rPr>
        <w:t>”</w:t>
      </w:r>
      <w:r>
        <w:rPr>
          <w:i/>
          <w:iCs/>
          <w:u w:val="single"/>
        </w:rPr>
        <w:br/>
      </w:r>
      <w:r w:rsidRPr="00BB2068">
        <w:t xml:space="preserve">1. </w:t>
      </w:r>
      <w:r w:rsidRPr="00BB2068">
        <w:t>Het opschrift boven de wet (vrg. &amp; antw. 92a)</w:t>
      </w:r>
      <w:r w:rsidRPr="00BB2068">
        <w:br/>
        <w:t xml:space="preserve">2. </w:t>
      </w:r>
      <w:r w:rsidRPr="00BB2068">
        <w:t>De verdeling van de wet (vrg. &amp; antw. 93)</w:t>
      </w:r>
      <w:r w:rsidRPr="00BB2068">
        <w:br/>
        <w:t xml:space="preserve">3. </w:t>
      </w:r>
      <w:r w:rsidRPr="00526C6F">
        <w:t>Het eerste en grote gebod van de wet</w:t>
      </w:r>
      <w:r>
        <w:t xml:space="preserve"> (vrg. &amp; antw. 94-95)</w:t>
      </w:r>
      <w:r>
        <w:rPr>
          <w:i/>
          <w:iCs/>
          <w:u w:val="single"/>
        </w:rPr>
        <w:br/>
      </w:r>
      <w:r w:rsidR="009B2037">
        <w:rPr>
          <w:rFonts w:cstheme="minorHAnsi"/>
          <w:i/>
          <w:iCs/>
          <w:u w:val="single"/>
        </w:rPr>
        <w:br/>
      </w:r>
      <w:r w:rsidRPr="00BB2068">
        <w:rPr>
          <w:rFonts w:cstheme="minorHAnsi"/>
          <w:i/>
          <w:iCs/>
          <w:u w:val="single"/>
        </w:rPr>
        <w:t xml:space="preserve">1.  </w:t>
      </w:r>
      <w:r w:rsidRPr="00BB2068">
        <w:rPr>
          <w:i/>
          <w:iCs/>
          <w:u w:val="single"/>
        </w:rPr>
        <w:t>Het opschrift boven de wet</w:t>
      </w:r>
      <w:r>
        <w:rPr>
          <w:i/>
          <w:iCs/>
          <w:u w:val="single"/>
        </w:rPr>
        <w:br/>
      </w:r>
      <w:r>
        <w:t xml:space="preserve">Uit het slavenhuis </w:t>
      </w:r>
      <w:r>
        <w:t xml:space="preserve">is Israël </w:t>
      </w:r>
      <w:r>
        <w:t>uitgeleid. Door de hand van de HEERE!</w:t>
      </w:r>
      <w:r>
        <w:t xml:space="preserve"> </w:t>
      </w:r>
      <w:r>
        <w:t>En dan komt het volk bij de Sinaï</w:t>
      </w:r>
      <w:r>
        <w:t xml:space="preserve"> (</w:t>
      </w:r>
      <w:r>
        <w:t>Exodus 19</w:t>
      </w:r>
      <w:r>
        <w:t>)</w:t>
      </w:r>
      <w:r>
        <w:t xml:space="preserve">. </w:t>
      </w:r>
      <w:r>
        <w:t>Opzoeken:</w:t>
      </w:r>
      <w:r>
        <w:t xml:space="preserve"> Ex. 19,3-6</w:t>
      </w:r>
      <w:r>
        <w:t xml:space="preserve">. </w:t>
      </w:r>
    </w:p>
    <w:p w14:paraId="241EB51F" w14:textId="7CE7DB06" w:rsidR="00115D29" w:rsidRDefault="00115D29" w:rsidP="00BB2068">
      <w:pPr>
        <w:spacing w:line="264" w:lineRule="auto"/>
        <w:ind w:left="-567"/>
      </w:pPr>
      <w:r>
        <w:t xml:space="preserve">De HEERE spreekt! </w:t>
      </w:r>
      <w:r>
        <w:rPr>
          <w:i/>
          <w:iCs/>
        </w:rPr>
        <w:t>‘Ik ben de HEERE uw God, Die uit Egypteland, uit het diensthuis uitgeleid heb.’</w:t>
      </w:r>
      <w:r>
        <w:t xml:space="preserve"> Hij heeft gered. Hij heeft gedacht aan Zijn genade. Het was Zijn wil (want velen van de Israëlieten wilden liever terug naar de vleespotten…). </w:t>
      </w:r>
      <w:r>
        <w:t>Iemand schreef: ‘de geboden volgen op het Evangelie van de onverdiende bevrijding’.</w:t>
      </w:r>
      <w:r>
        <w:t xml:space="preserve"> </w:t>
      </w:r>
      <w:r>
        <w:t xml:space="preserve">Het is Gods heilige wil voor het </w:t>
      </w:r>
      <w:r>
        <w:rPr>
          <w:i/>
          <w:iCs/>
        </w:rPr>
        <w:t xml:space="preserve">verloste </w:t>
      </w:r>
      <w:r>
        <w:t>volk. Doe die uit dankbaarheid en leef ernaar.</w:t>
      </w:r>
      <w:r>
        <w:t xml:space="preserve"> Zo wil de Heere dat volk aan Zich verbinden / verbonden houden. </w:t>
      </w:r>
    </w:p>
    <w:p w14:paraId="177C2BA3" w14:textId="6F21161C" w:rsidR="00115D29" w:rsidRDefault="00115D29" w:rsidP="00BB2068">
      <w:pPr>
        <w:spacing w:line="264" w:lineRule="auto"/>
        <w:ind w:left="-567"/>
      </w:pPr>
      <w:r>
        <w:t>De wet is hier allermeest</w:t>
      </w:r>
      <w:r w:rsidR="00D9495D">
        <w:t xml:space="preserve"> (</w:t>
      </w:r>
      <w:r w:rsidR="00D9495D" w:rsidRPr="00D9495D">
        <w:rPr>
          <w:rStyle w:val="Voetnootmarkering"/>
          <w:i/>
          <w:iCs/>
        </w:rPr>
        <w:footnoteReference w:id="1"/>
      </w:r>
      <w:r>
        <w:t xml:space="preserve">) bedoeld als ‘regel der dankbaarheid’. Geldt ook voor ons. Tenminste, als we Christus deelachtig zijn door het geloof! Anders staan wij nog onder de vloék van de wet en heeft de wet als functie om ons onze ellende te doen kennen (zie HC Zondag 2). </w:t>
      </w:r>
    </w:p>
    <w:p w14:paraId="38DF7775" w14:textId="01321A07" w:rsidR="00732937" w:rsidRPr="00115D29" w:rsidRDefault="00732937" w:rsidP="00BB2068">
      <w:pPr>
        <w:spacing w:line="264" w:lineRule="auto"/>
        <w:ind w:left="-567"/>
      </w:pPr>
      <w:r>
        <w:t>Maar zó wordt de wet hier in Zondag 34 niet behandeld.</w:t>
      </w:r>
      <w:r>
        <w:t xml:space="preserve"> </w:t>
      </w:r>
      <w:r>
        <w:t>Gods volk ís bevrijd. Hij haalde ons uit het slavenhuis van zonde. Door hét Paaslam dat geslacht is, onze Heere Jezus Christus.</w:t>
      </w:r>
      <w:r>
        <w:t xml:space="preserve"> </w:t>
      </w:r>
      <w:r>
        <w:t>De wet is er voor alle oprechte christenen als regel der dankbaarheid. Geeft aan hoe wij te leven hebben voor God en onze naaste.</w:t>
      </w:r>
      <w:r>
        <w:t xml:space="preserve"> </w:t>
      </w:r>
      <w:r>
        <w:t>De Geest schrijft de wet in het hart</w:t>
      </w:r>
      <w:r>
        <w:t xml:space="preserve"> (zie bijv. Hebr. 8,10). </w:t>
      </w:r>
      <w:r w:rsidR="00D9495D">
        <w:t xml:space="preserve">Dus eerst het Evangelie en dan de wet (uit dankbaarheid!). </w:t>
      </w:r>
      <w:r w:rsidR="00D9495D">
        <w:t xml:space="preserve">Efeze 2,10: </w:t>
      </w:r>
      <w:r w:rsidR="00D9495D">
        <w:rPr>
          <w:i/>
          <w:iCs/>
        </w:rPr>
        <w:t>‘Want wij zijn Zijn maaksel, geschapen in Christus Jezus tot goede werken, welke God voorbereid heeft, opdat wij daarin zouden wandelen.’</w:t>
      </w:r>
    </w:p>
    <w:p w14:paraId="7422EBB6" w14:textId="4C7AD4DC" w:rsidR="00D9495D" w:rsidRDefault="00BB2068" w:rsidP="00BB2068">
      <w:pPr>
        <w:spacing w:line="264" w:lineRule="auto"/>
        <w:ind w:left="-567"/>
      </w:pPr>
      <w:r w:rsidRPr="00D9495D">
        <w:rPr>
          <w:rFonts w:cstheme="minorHAnsi"/>
          <w:i/>
          <w:iCs/>
          <w:u w:val="single"/>
        </w:rPr>
        <w:t xml:space="preserve">2. </w:t>
      </w:r>
      <w:r w:rsidR="00D9495D" w:rsidRPr="00D9495D">
        <w:rPr>
          <w:i/>
          <w:iCs/>
          <w:u w:val="single"/>
        </w:rPr>
        <w:t>De verdeling van de wet</w:t>
      </w:r>
      <w:r w:rsidR="00D9495D">
        <w:rPr>
          <w:i/>
          <w:iCs/>
          <w:u w:val="single"/>
        </w:rPr>
        <w:br/>
      </w:r>
      <w:r w:rsidR="00D9495D">
        <w:t>Na de aanhef verkondigt de HEERE Zijn heilige wet.</w:t>
      </w:r>
      <w:r w:rsidR="00D9495D">
        <w:t xml:space="preserve"> In catechismus wordt Ex. 20,3-17 geciteerd. In Deut. 5,6-21 staat wet ook (vooral het vierde gebod is boeiend om te vergelijken). </w:t>
      </w:r>
    </w:p>
    <w:p w14:paraId="6CB41B34" w14:textId="66F9DFDC" w:rsidR="00D9495D" w:rsidRDefault="00D9495D" w:rsidP="00BB2068">
      <w:pPr>
        <w:spacing w:line="264" w:lineRule="auto"/>
        <w:ind w:left="-567"/>
      </w:pPr>
      <w:r>
        <w:rPr>
          <w:i/>
          <w:iCs/>
        </w:rPr>
        <w:t>‘In twee tafelen’</w:t>
      </w:r>
      <w:r w:rsidRPr="003A5CA1">
        <w:t>:</w:t>
      </w:r>
      <w:r>
        <w:rPr>
          <w:i/>
          <w:iCs/>
        </w:rPr>
        <w:t xml:space="preserve"> </w:t>
      </w:r>
      <w:r>
        <w:t xml:space="preserve">De HEERE heeft de wet gegeven en zelfs Zelf geschreven! Is in onze belijdenis opgenomen in NGB artikel 3. </w:t>
      </w:r>
    </w:p>
    <w:p w14:paraId="08ADF491" w14:textId="6FE0CAB6" w:rsidR="003A5CA1" w:rsidRDefault="003A5CA1" w:rsidP="00FC6653">
      <w:pPr>
        <w:spacing w:line="264" w:lineRule="auto"/>
        <w:ind w:left="-567"/>
      </w:pPr>
      <w:r>
        <w:t xml:space="preserve">Waarom twee tafelen? </w:t>
      </w:r>
      <w:r>
        <w:t>Was het nu zo dat op de éne tafel de geboden stonden die gaan over de verhouding tot God?</w:t>
      </w:r>
      <w:r>
        <w:t xml:space="preserve"> </w:t>
      </w:r>
      <w:r>
        <w:t>Een andere gedachte is deze: op beide stenen tabletten stond precies dezelfde tekst.</w:t>
      </w:r>
      <w:r>
        <w:t xml:space="preserve"> </w:t>
      </w:r>
      <w:r>
        <w:t>Dat Hij als de hemelse Koning één tafel voor Zichzelf bestemd had en één voor het volk?</w:t>
      </w:r>
      <w:r>
        <w:t xml:space="preserve"> Met zekerheid is het niet te zeggen. </w:t>
      </w:r>
      <w:r w:rsidR="00FC6653">
        <w:br/>
        <w:t xml:space="preserve">   </w:t>
      </w:r>
      <w:r>
        <w:t>Wat voor ons wel volkomen duidelijk is, is wát de HEERE geboden heeft.</w:t>
      </w:r>
      <w:r>
        <w:t xml:space="preserve"> Betreft </w:t>
      </w:r>
      <w:r>
        <w:t xml:space="preserve">de verhouding tot de </w:t>
      </w:r>
      <w:r>
        <w:lastRenderedPageBreak/>
        <w:t>Heere Zelf en tot ons naaste.</w:t>
      </w:r>
      <w:r>
        <w:t xml:space="preserve"> </w:t>
      </w:r>
      <w:r>
        <w:t>Als de Heere Jezus de wet samenvat, doelt Hij op die twee lijnen</w:t>
      </w:r>
      <w:r>
        <w:t xml:space="preserve"> (Matth. 22,37-40). </w:t>
      </w:r>
    </w:p>
    <w:p w14:paraId="17D5E269" w14:textId="2AD30022" w:rsidR="003A5CA1" w:rsidRDefault="003A5CA1" w:rsidP="00BB2068">
      <w:pPr>
        <w:spacing w:line="264" w:lineRule="auto"/>
        <w:ind w:left="-567"/>
        <w:rPr>
          <w:i/>
          <w:iCs/>
        </w:rPr>
      </w:pPr>
      <w:r>
        <w:t>De eerste vier geboden betreffen ‘hoe wij ons jegens God zullen houden’.</w:t>
      </w:r>
      <w:r>
        <w:t xml:space="preserve"> </w:t>
      </w:r>
      <w:r>
        <w:t>De geboden van vijf tot tien gaan over de omgang met de naaste.</w:t>
      </w:r>
      <w:r>
        <w:t xml:space="preserve"> </w:t>
      </w:r>
      <w:r>
        <w:t>De volgorde van de geboden is belangrijk. Voorop staat de dienst aan God</w:t>
      </w:r>
      <w:r>
        <w:t xml:space="preserve">: </w:t>
      </w:r>
      <w:r>
        <w:t>Dat is het eerste en het grote gebod</w:t>
      </w:r>
      <w:r>
        <w:t xml:space="preserve">! </w:t>
      </w:r>
      <w:r>
        <w:t xml:space="preserve">Johannes 17,3: </w:t>
      </w:r>
      <w:r>
        <w:rPr>
          <w:i/>
          <w:iCs/>
        </w:rPr>
        <w:t>‘dit is het eeuwige leven dat zij U kennen de enige waarachtige God en Jezus Christus, Dien Gij gezonden hebt.’</w:t>
      </w:r>
    </w:p>
    <w:p w14:paraId="25631CBE" w14:textId="77777777" w:rsidR="003A5CA1" w:rsidRDefault="003A5CA1" w:rsidP="003A5CA1">
      <w:pPr>
        <w:spacing w:line="264" w:lineRule="auto"/>
        <w:ind w:left="-567"/>
      </w:pPr>
      <w:r>
        <w:t>Maar, de tweede tafel mag natuurlijk niet uit beeld raken. Absoluut niet</w:t>
      </w:r>
      <w:r>
        <w:t xml:space="preserve">! </w:t>
      </w:r>
      <w:r>
        <w:t xml:space="preserve">Het tweede gebod aan dit gelijk is: </w:t>
      </w:r>
      <w:r w:rsidRPr="003A5CA1">
        <w:rPr>
          <w:i/>
          <w:iCs/>
        </w:rPr>
        <w:t xml:space="preserve">‘Gij </w:t>
      </w:r>
      <w:r w:rsidRPr="003A5CA1">
        <w:rPr>
          <w:i/>
          <w:iCs/>
        </w:rPr>
        <w:t xml:space="preserve">zult uw naaste </w:t>
      </w:r>
      <w:r w:rsidRPr="003A5CA1">
        <w:rPr>
          <w:i/>
          <w:iCs/>
        </w:rPr>
        <w:t xml:space="preserve">liefhebben </w:t>
      </w:r>
      <w:r w:rsidRPr="003A5CA1">
        <w:rPr>
          <w:i/>
          <w:iCs/>
        </w:rPr>
        <w:t>[…]</w:t>
      </w:r>
      <w:r w:rsidRPr="003A5CA1">
        <w:rPr>
          <w:i/>
          <w:iCs/>
        </w:rPr>
        <w:t>’</w:t>
      </w:r>
      <w:r>
        <w:rPr>
          <w:i/>
          <w:iCs/>
        </w:rPr>
        <w:t xml:space="preserve"> </w:t>
      </w:r>
      <w:r>
        <w:t>Dus waak voor de gedachte dat aandacht in de prediking voor de horizontale lijn, de omgang met de naaste, eigenlijk maar een beetje van de tweede orde is</w:t>
      </w:r>
      <w:r>
        <w:t xml:space="preserve"> (minder belangrijk)</w:t>
      </w:r>
      <w:r>
        <w:t>.</w:t>
      </w:r>
      <w:r>
        <w:t xml:space="preserve"> Zie bijv. Jak. 1,27 en 1 Joh. 4,20.</w:t>
      </w:r>
    </w:p>
    <w:p w14:paraId="49F05BEF" w14:textId="1254E8D6" w:rsidR="00BB2068" w:rsidRDefault="00BB2068" w:rsidP="003A5CA1">
      <w:pPr>
        <w:spacing w:line="264" w:lineRule="auto"/>
        <w:ind w:left="-567"/>
        <w:rPr>
          <w:i/>
          <w:iCs/>
        </w:rPr>
      </w:pPr>
      <w:r w:rsidRPr="003A5CA1">
        <w:rPr>
          <w:i/>
          <w:iCs/>
          <w:u w:val="single"/>
        </w:rPr>
        <w:t xml:space="preserve">3. </w:t>
      </w:r>
      <w:r w:rsidR="003A5CA1" w:rsidRPr="003A5CA1">
        <w:rPr>
          <w:i/>
          <w:iCs/>
          <w:u w:val="single"/>
        </w:rPr>
        <w:t>Het eerste en het grote gebod van de wet</w:t>
      </w:r>
      <w:r w:rsidR="003A5CA1">
        <w:rPr>
          <w:i/>
          <w:iCs/>
          <w:u w:val="single"/>
        </w:rPr>
        <w:br/>
      </w:r>
      <w:r w:rsidR="003A5CA1">
        <w:t>Dat alleen de God en Vader van de Heere Jezus Christus de ware God is, leert de Bijbel heel duidelijk</w:t>
      </w:r>
      <w:r w:rsidR="003A5CA1">
        <w:t xml:space="preserve"> (bijv. Jes. 44,6). Maar het eerste gebod lijkt te zeggen dat er wel andere goden zijn. </w:t>
      </w:r>
      <w:r w:rsidR="009B2037">
        <w:t>Inderdaad, e</w:t>
      </w:r>
      <w:r w:rsidR="009B2037">
        <w:t>r worden heel wat goden genoemd in de Bijbel.</w:t>
      </w:r>
      <w:r w:rsidR="009B2037">
        <w:t xml:space="preserve"> </w:t>
      </w:r>
      <w:r w:rsidR="009B2037">
        <w:t>Maar</w:t>
      </w:r>
      <w:r w:rsidR="00FC6653">
        <w:t xml:space="preserve">, </w:t>
      </w:r>
      <w:r w:rsidR="009B2037">
        <w:t>1 Kor. 8: ‘</w:t>
      </w:r>
      <w:r w:rsidR="009B2037">
        <w:rPr>
          <w:i/>
          <w:iCs/>
        </w:rPr>
        <w:t>wij weten dat een afgod niets is in de wereld, en dat er geen ander God is dan Eén.</w:t>
      </w:r>
    </w:p>
    <w:p w14:paraId="33F75D2B" w14:textId="23D87DC4" w:rsidR="009B2037" w:rsidRDefault="002E453F" w:rsidP="003A5CA1">
      <w:pPr>
        <w:spacing w:line="264" w:lineRule="auto"/>
        <w:ind w:left="-567"/>
        <w:rPr>
          <w:i/>
          <w:iCs/>
        </w:rPr>
      </w:pPr>
      <w:r>
        <w:t>W</w:t>
      </w:r>
      <w:r w:rsidR="009B2037">
        <w:t xml:space="preserve">aarom </w:t>
      </w:r>
      <w:r w:rsidR="00FC6653">
        <w:t xml:space="preserve">dan </w:t>
      </w:r>
      <w:r w:rsidR="009B2037">
        <w:t>waarschuwen tegen afgoden</w:t>
      </w:r>
      <w:r w:rsidR="00FC6653">
        <w:t>?</w:t>
      </w:r>
      <w:r w:rsidR="009B2037">
        <w:t xml:space="preserve"> Vergeet de duivel niet. En die w</w:t>
      </w:r>
      <w:r>
        <w:t>i</w:t>
      </w:r>
      <w:r w:rsidR="009B2037">
        <w:t>l niets liever dat wij ons goden maken en daarvoor buigen</w:t>
      </w:r>
      <w:r w:rsidR="009B2037">
        <w:t xml:space="preserve">. </w:t>
      </w:r>
      <w:r>
        <w:t>V</w:t>
      </w:r>
      <w:r w:rsidR="009B2037">
        <w:t xml:space="preserve">ertrouwen daaraan geven. </w:t>
      </w:r>
      <w:r w:rsidR="009B2037">
        <w:t xml:space="preserve">Paulus zegt in 1 Kor. 10 nogmaals dat een afgod niets is. Maar wat zegt hij er dan achteraan? </w:t>
      </w:r>
      <w:r w:rsidR="009B2037">
        <w:rPr>
          <w:i/>
          <w:iCs/>
        </w:rPr>
        <w:t>‘ik wil niet dat gij met duivelen gemeenschap hebt’.</w:t>
      </w:r>
    </w:p>
    <w:p w14:paraId="72263EC6" w14:textId="551B1024" w:rsidR="009B2037" w:rsidRDefault="009B2037" w:rsidP="003A5CA1">
      <w:pPr>
        <w:spacing w:line="264" w:lineRule="auto"/>
        <w:ind w:left="-567"/>
      </w:pPr>
      <w:r>
        <w:t>Rom. 1,25: wij maken voor ons afgoden. W</w:t>
      </w:r>
      <w:r>
        <w:t>ij gaan er eer aan geven. Onze hoop op zetten, ons geluk ervan afhankelijk maken. En dan zitten we midden in de afgoderij.</w:t>
      </w:r>
      <w:r>
        <w:t xml:space="preserve"> Eigenlijk kan </w:t>
      </w:r>
      <w:r w:rsidR="002E453F">
        <w:t>á</w:t>
      </w:r>
      <w:r>
        <w:t xml:space="preserve">lles een afgod zijn. We moeten het leren (ook telkens opnieuw!) om op Hem alleen te vertrouwen. Afhankelijkheid. </w:t>
      </w:r>
      <w:r w:rsidR="002E453F">
        <w:t xml:space="preserve">Verwijzing naar Jer. 17, 5 en 7. </w:t>
      </w:r>
    </w:p>
    <w:p w14:paraId="2CF4E098" w14:textId="7FDFBF30" w:rsidR="009B2037" w:rsidRDefault="009B2037" w:rsidP="003A5CA1">
      <w:pPr>
        <w:spacing w:line="264" w:lineRule="auto"/>
        <w:ind w:left="-567"/>
      </w:pPr>
      <w:r>
        <w:t>Daarom dat eerste gebod dat de HEERE gaf: geen andere goden voor Mijn aangezicht</w:t>
      </w:r>
      <w:r>
        <w:t xml:space="preserve">! Anders gaat het </w:t>
      </w:r>
      <w:r w:rsidR="00FC6653">
        <w:t xml:space="preserve">finaal verkeerd. </w:t>
      </w:r>
      <w:r w:rsidR="00FC6653">
        <w:t>Zo lief mij de zaligheid van mijn ziel is mijd en ontvlucht ik de afgoderij.</w:t>
      </w:r>
      <w:r w:rsidR="00FC6653">
        <w:t xml:space="preserve"> Enkele concrete voorbeelden: gokken, bijgeloof en occulte machten. </w:t>
      </w:r>
    </w:p>
    <w:p w14:paraId="6001ADEC" w14:textId="4FC9E89B" w:rsidR="00FC6653" w:rsidRPr="00FC6653" w:rsidRDefault="00FC6653" w:rsidP="003A5CA1">
      <w:pPr>
        <w:spacing w:line="264" w:lineRule="auto"/>
        <w:ind w:left="-567"/>
      </w:pPr>
      <w:r>
        <w:t xml:space="preserve">God zegt: </w:t>
      </w:r>
      <w:r>
        <w:rPr>
          <w:i/>
          <w:iCs/>
        </w:rPr>
        <w:t xml:space="preserve">géén andere goden voor Mijn aangezicht. </w:t>
      </w:r>
      <w:r>
        <w:t xml:space="preserve">Dat wil </w:t>
      </w:r>
      <w:r>
        <w:t>Gods kind</w:t>
      </w:r>
      <w:r>
        <w:t xml:space="preserve"> toch ook niet meer</w:t>
      </w:r>
      <w:r>
        <w:t xml:space="preserve">?! </w:t>
      </w:r>
      <w:r>
        <w:t xml:space="preserve">God verbiedt het jou om andere goden te volgen. </w:t>
      </w:r>
      <w:r>
        <w:t>Je hoeft er geen betogen over op te hangen.</w:t>
      </w:r>
      <w:r>
        <w:t xml:space="preserve"> Zegt Hij uit liefde.</w:t>
      </w:r>
      <w:r>
        <w:t xml:space="preserve"> </w:t>
      </w:r>
      <w:r>
        <w:t>Doe de vreemde goden weg en dien Mij met je hele hart.</w:t>
      </w:r>
      <w:r>
        <w:t xml:space="preserve"> Het gebod wordt een belofte (</w:t>
      </w:r>
      <w:r>
        <w:rPr>
          <w:i/>
          <w:iCs/>
        </w:rPr>
        <w:t>Gij zult geen andere goden hebben voor Mijn aangezicht</w:t>
      </w:r>
      <w:r>
        <w:t>). Hij blijft over. Hij alleen! E</w:t>
      </w:r>
      <w:r>
        <w:t>chte bevrijding</w:t>
      </w:r>
      <w:r>
        <w:t>: Joh. 8,36!</w:t>
      </w:r>
      <w:r>
        <w:t xml:space="preserve"> </w:t>
      </w:r>
      <w:r>
        <w:t xml:space="preserve">De lofprijzing blijft over. </w:t>
      </w:r>
    </w:p>
    <w:p w14:paraId="59332A02" w14:textId="3613E9B2" w:rsidR="00DD2CCB" w:rsidRPr="00DD2CCB" w:rsidRDefault="00BB2068" w:rsidP="00DD2CCB">
      <w:pPr>
        <w:spacing w:line="264" w:lineRule="auto"/>
        <w:ind w:left="-567"/>
        <w:rPr>
          <w:rFonts w:cstheme="minorHAnsi"/>
          <w:shd w:val="clear" w:color="auto" w:fill="FFFFFF"/>
        </w:rPr>
      </w:pPr>
      <w:r w:rsidRPr="0030292C">
        <w:rPr>
          <w:rFonts w:cstheme="minorHAnsi"/>
          <w:i/>
          <w:iCs/>
          <w:u w:val="single"/>
          <w:shd w:val="clear" w:color="auto" w:fill="FFFFFF"/>
        </w:rPr>
        <w:t>Vragen om over door te praten en/of voor persoonlijke bezinning</w:t>
      </w:r>
      <w:r>
        <w:rPr>
          <w:rFonts w:cstheme="minorHAnsi"/>
          <w:shd w:val="clear" w:color="auto" w:fill="FFFFFF"/>
        </w:rPr>
        <w:t xml:space="preserve"> </w:t>
      </w:r>
      <w:r w:rsidR="00FC6653">
        <w:rPr>
          <w:rFonts w:cstheme="minorHAnsi"/>
          <w:shd w:val="clear" w:color="auto" w:fill="FFFFFF"/>
        </w:rPr>
        <w:br/>
        <w:t xml:space="preserve">1. </w:t>
      </w:r>
      <w:r w:rsidR="00DD2CCB">
        <w:rPr>
          <w:rFonts w:cstheme="minorHAnsi"/>
          <w:shd w:val="clear" w:color="auto" w:fill="FFFFFF"/>
        </w:rPr>
        <w:tab/>
        <w:t xml:space="preserve">Waarom mogen we de aanhef boven de wet niet los maken van de wet? </w:t>
      </w:r>
      <w:r w:rsidR="00DD2CCB">
        <w:rPr>
          <w:rFonts w:cstheme="minorHAnsi"/>
          <w:shd w:val="clear" w:color="auto" w:fill="FFFFFF"/>
        </w:rPr>
        <w:br/>
        <w:t xml:space="preserve">2. </w:t>
      </w:r>
      <w:r w:rsidR="00DD2CCB">
        <w:rPr>
          <w:rFonts w:cstheme="minorHAnsi"/>
          <w:shd w:val="clear" w:color="auto" w:fill="FFFFFF"/>
        </w:rPr>
        <w:tab/>
        <w:t xml:space="preserve">Hoe moeten we de wet nu zien: als onderdeel van het genadeverbond of van het werkverbond? Of </w:t>
      </w:r>
      <w:r w:rsidR="00DD2CCB">
        <w:rPr>
          <w:rFonts w:cstheme="minorHAnsi"/>
          <w:shd w:val="clear" w:color="auto" w:fill="FFFFFF"/>
        </w:rPr>
        <w:tab/>
        <w:t>valt voor beide iets te zeggen</w:t>
      </w:r>
      <w:r w:rsidR="002E453F">
        <w:rPr>
          <w:rFonts w:cstheme="minorHAnsi"/>
          <w:shd w:val="clear" w:color="auto" w:fill="FFFFFF"/>
        </w:rPr>
        <w:t>?</w:t>
      </w:r>
      <w:r w:rsidR="00DD2CCB">
        <w:rPr>
          <w:rFonts w:cstheme="minorHAnsi"/>
          <w:shd w:val="clear" w:color="auto" w:fill="FFFFFF"/>
        </w:rPr>
        <w:t xml:space="preserve"> Waar heeft dat dan mee te maken? </w:t>
      </w:r>
      <w:r w:rsidR="00DD2CCB">
        <w:rPr>
          <w:rFonts w:cstheme="minorHAnsi"/>
          <w:shd w:val="clear" w:color="auto" w:fill="FFFFFF"/>
        </w:rPr>
        <w:br/>
        <w:t>3.</w:t>
      </w:r>
      <w:r w:rsidR="00DD2CCB">
        <w:rPr>
          <w:rFonts w:cstheme="minorHAnsi"/>
          <w:shd w:val="clear" w:color="auto" w:fill="FFFFFF"/>
        </w:rPr>
        <w:tab/>
        <w:t>Hoe luister(t) jij/u naar de wet op zondagmorgen? Luisteren we echt of zijn het bekende klanken…?</w:t>
      </w:r>
      <w:r w:rsidR="00DD2CCB">
        <w:rPr>
          <w:rFonts w:cstheme="minorHAnsi"/>
          <w:shd w:val="clear" w:color="auto" w:fill="FFFFFF"/>
        </w:rPr>
        <w:br/>
        <w:t>4.</w:t>
      </w:r>
      <w:r w:rsidR="00DD2CCB">
        <w:rPr>
          <w:rFonts w:cstheme="minorHAnsi"/>
          <w:shd w:val="clear" w:color="auto" w:fill="FFFFFF"/>
        </w:rPr>
        <w:tab/>
        <w:t xml:space="preserve">Stelling: “overtreding van de geboden 5 t/m 10 vinden wij erger dan gebod 1 t/m 4.” Praat er over </w:t>
      </w:r>
      <w:r w:rsidR="00DD2CCB">
        <w:rPr>
          <w:rFonts w:cstheme="minorHAnsi"/>
          <w:shd w:val="clear" w:color="auto" w:fill="FFFFFF"/>
        </w:rPr>
        <w:tab/>
        <w:t xml:space="preserve">door met elkaar. </w:t>
      </w:r>
      <w:r w:rsidR="00DD2CCB">
        <w:rPr>
          <w:rFonts w:cstheme="minorHAnsi"/>
          <w:shd w:val="clear" w:color="auto" w:fill="FFFFFF"/>
        </w:rPr>
        <w:br/>
        <w:t>5.</w:t>
      </w:r>
      <w:r w:rsidR="00DD2CCB">
        <w:rPr>
          <w:rFonts w:cstheme="minorHAnsi"/>
          <w:shd w:val="clear" w:color="auto" w:fill="FFFFFF"/>
        </w:rPr>
        <w:tab/>
        <w:t xml:space="preserve">Welke afgoden heb(t) u/jij? </w:t>
      </w:r>
      <w:r w:rsidR="00DD2CCB">
        <w:rPr>
          <w:rFonts w:cstheme="minorHAnsi"/>
          <w:shd w:val="clear" w:color="auto" w:fill="FFFFFF"/>
        </w:rPr>
        <w:br/>
        <w:t>6.</w:t>
      </w:r>
      <w:r w:rsidR="00DD2CCB">
        <w:rPr>
          <w:rFonts w:cstheme="minorHAnsi"/>
          <w:shd w:val="clear" w:color="auto" w:fill="FFFFFF"/>
        </w:rPr>
        <w:tab/>
      </w:r>
      <w:r w:rsidR="002E453F">
        <w:rPr>
          <w:rFonts w:cstheme="minorHAnsi"/>
          <w:shd w:val="clear" w:color="auto" w:fill="FFFFFF"/>
        </w:rPr>
        <w:t>Hoe reageert u/jij als iemand zegt dat Allah dezelfde God is als Die van de Bijbel?</w:t>
      </w:r>
    </w:p>
    <w:p w14:paraId="2DCF26E7" w14:textId="2E63320C" w:rsidR="00BB2068" w:rsidRPr="002E453F" w:rsidRDefault="00BB2068" w:rsidP="002E453F">
      <w:pPr>
        <w:spacing w:line="264" w:lineRule="auto"/>
        <w:ind w:left="-567"/>
        <w:rPr>
          <w:rFonts w:cstheme="minorHAnsi"/>
          <w:shd w:val="clear" w:color="auto" w:fill="FFFFFF"/>
        </w:rPr>
      </w:pPr>
      <w:r w:rsidRPr="00FA3D62">
        <w:rPr>
          <w:rFonts w:cstheme="minorHAnsi"/>
          <w:i/>
          <w:iCs/>
          <w:u w:val="single"/>
          <w:shd w:val="clear" w:color="auto" w:fill="FFFFFF"/>
        </w:rPr>
        <w:t>Voor de kinderen</w:t>
      </w:r>
      <w:r w:rsidR="002E453F">
        <w:rPr>
          <w:rFonts w:cstheme="minorHAnsi"/>
          <w:shd w:val="clear" w:color="auto" w:fill="FFFFFF"/>
        </w:rPr>
        <w:br/>
        <w:t>1.</w:t>
      </w:r>
      <w:r w:rsidR="002E453F">
        <w:rPr>
          <w:rFonts w:cstheme="minorHAnsi"/>
          <w:shd w:val="clear" w:color="auto" w:fill="FFFFFF"/>
        </w:rPr>
        <w:tab/>
      </w:r>
      <w:r w:rsidR="002E453F" w:rsidRPr="002E453F">
        <w:rPr>
          <w:rFonts w:cstheme="minorHAnsi"/>
          <w:shd w:val="clear" w:color="auto" w:fill="FFFFFF"/>
        </w:rPr>
        <w:t>Wat moest Israël horen? (lees: Deut. 6 vers 4)</w:t>
      </w:r>
      <w:r w:rsidR="002E453F">
        <w:rPr>
          <w:rFonts w:cstheme="minorHAnsi"/>
          <w:shd w:val="clear" w:color="auto" w:fill="FFFFFF"/>
        </w:rPr>
        <w:br/>
        <w:t>2.</w:t>
      </w:r>
      <w:r w:rsidR="002E453F">
        <w:rPr>
          <w:rFonts w:cstheme="minorHAnsi"/>
          <w:shd w:val="clear" w:color="auto" w:fill="FFFFFF"/>
        </w:rPr>
        <w:tab/>
      </w:r>
      <w:r w:rsidR="002E453F" w:rsidRPr="002E453F">
        <w:rPr>
          <w:rFonts w:cstheme="minorHAnsi"/>
          <w:shd w:val="clear" w:color="auto" w:fill="FFFFFF"/>
        </w:rPr>
        <w:t>En welk gebod krijgen te mee? (lees: Deut. 6 vers 5)</w:t>
      </w:r>
      <w:r w:rsidR="002E453F">
        <w:rPr>
          <w:rFonts w:cstheme="minorHAnsi"/>
          <w:shd w:val="clear" w:color="auto" w:fill="FFFFFF"/>
        </w:rPr>
        <w:br/>
        <w:t>3.</w:t>
      </w:r>
      <w:r w:rsidR="002E453F">
        <w:rPr>
          <w:rFonts w:cstheme="minorHAnsi"/>
          <w:shd w:val="clear" w:color="auto" w:fill="FFFFFF"/>
        </w:rPr>
        <w:tab/>
      </w:r>
      <w:r w:rsidR="002E453F" w:rsidRPr="002E453F">
        <w:rPr>
          <w:rFonts w:cstheme="minorHAnsi"/>
          <w:shd w:val="clear" w:color="auto" w:fill="FFFFFF"/>
        </w:rPr>
        <w:t>Kun je de samenvatting van de wet uit je hoofd opzeggen? Probeer maar eens!</w:t>
      </w:r>
      <w:r w:rsidR="002E453F" w:rsidRPr="002E453F">
        <w:rPr>
          <w:rFonts w:cstheme="minorHAnsi"/>
          <w:shd w:val="clear" w:color="auto" w:fill="FFFFFF"/>
        </w:rPr>
        <w:br/>
      </w:r>
      <w:r w:rsidRPr="002E453F">
        <w:rPr>
          <w:rFonts w:cstheme="minorHAnsi"/>
          <w:shd w:val="clear" w:color="auto" w:fill="FFFFFF"/>
        </w:rPr>
        <w:lastRenderedPageBreak/>
        <w:br/>
      </w:r>
    </w:p>
    <w:p w14:paraId="1BBA09C1" w14:textId="77777777" w:rsidR="005F65A1" w:rsidRDefault="005F65A1"/>
    <w:sectPr w:rsidR="005F65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28B7" w14:textId="77777777" w:rsidR="00D9495D" w:rsidRDefault="00D9495D" w:rsidP="00D9495D">
      <w:pPr>
        <w:spacing w:after="0" w:line="240" w:lineRule="auto"/>
      </w:pPr>
      <w:r>
        <w:separator/>
      </w:r>
    </w:p>
  </w:endnote>
  <w:endnote w:type="continuationSeparator" w:id="0">
    <w:p w14:paraId="39508347" w14:textId="77777777" w:rsidR="00D9495D" w:rsidRDefault="00D9495D" w:rsidP="00D9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A31D" w14:textId="77777777" w:rsidR="00D9495D" w:rsidRDefault="00D9495D" w:rsidP="00D9495D">
      <w:pPr>
        <w:spacing w:after="0" w:line="240" w:lineRule="auto"/>
      </w:pPr>
      <w:r>
        <w:separator/>
      </w:r>
    </w:p>
  </w:footnote>
  <w:footnote w:type="continuationSeparator" w:id="0">
    <w:p w14:paraId="1B163343" w14:textId="77777777" w:rsidR="00D9495D" w:rsidRDefault="00D9495D" w:rsidP="00D9495D">
      <w:pPr>
        <w:spacing w:after="0" w:line="240" w:lineRule="auto"/>
      </w:pPr>
      <w:r>
        <w:continuationSeparator/>
      </w:r>
    </w:p>
  </w:footnote>
  <w:footnote w:id="1">
    <w:p w14:paraId="6B0B65C6" w14:textId="4AD3C8C1" w:rsidR="00D9495D" w:rsidRDefault="00D9495D" w:rsidP="00FC6653">
      <w:pPr>
        <w:pStyle w:val="Voetnoottekst"/>
        <w:ind w:left="-567"/>
      </w:pPr>
      <w:r>
        <w:rPr>
          <w:rStyle w:val="Voetnootmarkering"/>
        </w:rPr>
        <w:footnoteRef/>
      </w:r>
      <w:r>
        <w:t xml:space="preserve"> </w:t>
      </w:r>
      <w:r>
        <w:tab/>
        <w:t xml:space="preserve">Allermeest: want ook na ontvangen genade blijft de wet als functie voor de Zijnen houden dat die ons </w:t>
      </w:r>
      <w:r>
        <w:tab/>
        <w:t xml:space="preserve">veroordeelt opdat wij ‘des te begeriger zijn om de vergeving der zonden en gerechtigheid in Christus </w:t>
      </w:r>
      <w:r w:rsidR="003A5CA1">
        <w:tab/>
      </w:r>
      <w:r>
        <w:t xml:space="preserve">te </w:t>
      </w:r>
      <w:r w:rsidR="00FC6653">
        <w:tab/>
      </w:r>
      <w:r>
        <w:t>zoeken’ (vrg &amp; antw.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A18"/>
    <w:multiLevelType w:val="hybridMultilevel"/>
    <w:tmpl w:val="75BC4CFE"/>
    <w:lvl w:ilvl="0" w:tplc="30B60314">
      <w:start w:val="1"/>
      <w:numFmt w:val="decimal"/>
      <w:lvlText w:val="%1."/>
      <w:lvlJc w:val="left"/>
      <w:pPr>
        <w:ind w:left="-3" w:hanging="564"/>
      </w:pPr>
      <w:rPr>
        <w:rFonts w:hint="default"/>
        <w:i w:val="0"/>
        <w:iCs w:val="0"/>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39814698"/>
    <w:multiLevelType w:val="hybridMultilevel"/>
    <w:tmpl w:val="0298C404"/>
    <w:lvl w:ilvl="0" w:tplc="E6804A48">
      <w:start w:val="1"/>
      <w:numFmt w:val="decimal"/>
      <w:lvlText w:val="%1."/>
      <w:lvlJc w:val="left"/>
      <w:pPr>
        <w:ind w:left="-3" w:hanging="564"/>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68"/>
    <w:rsid w:val="00115D29"/>
    <w:rsid w:val="002E453F"/>
    <w:rsid w:val="003A5CA1"/>
    <w:rsid w:val="005F65A1"/>
    <w:rsid w:val="00732937"/>
    <w:rsid w:val="009B2037"/>
    <w:rsid w:val="00BB2068"/>
    <w:rsid w:val="00D9495D"/>
    <w:rsid w:val="00DD2CCB"/>
    <w:rsid w:val="00FC6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BD9"/>
  <w15:chartTrackingRefBased/>
  <w15:docId w15:val="{C21FB102-BB0E-4CCC-B496-A484A176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206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2068"/>
    <w:pPr>
      <w:ind w:left="720"/>
      <w:contextualSpacing/>
    </w:pPr>
  </w:style>
  <w:style w:type="paragraph" w:styleId="Voetnoottekst">
    <w:name w:val="footnote text"/>
    <w:basedOn w:val="Standaard"/>
    <w:link w:val="VoetnoottekstChar"/>
    <w:uiPriority w:val="99"/>
    <w:semiHidden/>
    <w:unhideWhenUsed/>
    <w:rsid w:val="00D9495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95D"/>
    <w:rPr>
      <w:sz w:val="20"/>
      <w:szCs w:val="20"/>
    </w:rPr>
  </w:style>
  <w:style w:type="character" w:styleId="Voetnootmarkering">
    <w:name w:val="footnote reference"/>
    <w:basedOn w:val="Standaardalinea-lettertype"/>
    <w:uiPriority w:val="99"/>
    <w:semiHidden/>
    <w:unhideWhenUsed/>
    <w:rsid w:val="00D94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FCAF-6EC0-44C5-B506-31078802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940</Words>
  <Characters>5172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2023-07-01T11:37:00Z</dcterms:created>
  <dcterms:modified xsi:type="dcterms:W3CDTF">2023-07-01T13:18:00Z</dcterms:modified>
</cp:coreProperties>
</file>